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9D240" w14:textId="7C46DBFA" w:rsidR="00061B9E" w:rsidRDefault="00B629B2" w:rsidP="00B629B2">
      <w:pPr>
        <w:jc w:val="center"/>
        <w:rPr>
          <w:rFonts w:ascii="Times New Roman" w:hAnsi="Times New Roman" w:cs="Times New Roman"/>
          <w:b/>
          <w:bCs/>
        </w:rPr>
      </w:pPr>
      <w:r>
        <w:rPr>
          <w:rFonts w:ascii="Times New Roman" w:hAnsi="Times New Roman" w:cs="Times New Roman"/>
          <w:b/>
          <w:bCs/>
        </w:rPr>
        <w:t>Workarounds in Technology</w:t>
      </w:r>
    </w:p>
    <w:p w14:paraId="3A43BC0B" w14:textId="77777777" w:rsidR="00B629B2" w:rsidRDefault="00B629B2" w:rsidP="00B629B2">
      <w:pPr>
        <w:jc w:val="center"/>
        <w:rPr>
          <w:rFonts w:ascii="Times New Roman" w:hAnsi="Times New Roman" w:cs="Times New Roman"/>
          <w:b/>
          <w:bCs/>
        </w:rPr>
      </w:pPr>
    </w:p>
    <w:p w14:paraId="41D6CBEE" w14:textId="07740FCA" w:rsidR="00B629B2" w:rsidRDefault="00B629B2" w:rsidP="00B629B2">
      <w:pPr>
        <w:ind w:firstLine="720"/>
        <w:rPr>
          <w:rFonts w:ascii="Times New Roman" w:hAnsi="Times New Roman" w:cs="Times New Roman"/>
        </w:rPr>
      </w:pPr>
      <w:r>
        <w:rPr>
          <w:rFonts w:ascii="Times New Roman" w:hAnsi="Times New Roman" w:cs="Times New Roman"/>
        </w:rPr>
        <w:t>The workaround in technology I chose to discuss is the overriding of medications. While technology has allowed for numerous safeguards to prevent medication errors (i.e. barcode scanning), there are still ways that nurses get around these safe measures. The use of automated dispensing cabinets (ADC) first came about in the 1980s “</w:t>
      </w:r>
      <w:r w:rsidRPr="00B629B2">
        <w:rPr>
          <w:rFonts w:ascii="Times New Roman" w:hAnsi="Times New Roman" w:cs="Times New Roman"/>
        </w:rPr>
        <w:t>to facilitate transition to a more decentralized medication distribution system</w:t>
      </w:r>
      <w:r>
        <w:rPr>
          <w:rFonts w:ascii="Times New Roman" w:hAnsi="Times New Roman" w:cs="Times New Roman"/>
        </w:rPr>
        <w:t>” (</w:t>
      </w:r>
      <w:r w:rsidR="009C0AC2">
        <w:rPr>
          <w:rFonts w:ascii="Times New Roman" w:hAnsi="Times New Roman" w:cs="Times New Roman"/>
        </w:rPr>
        <w:t xml:space="preserve">Institute for Safe Medication Practices (ISMP),2020).  In my care area, we call this an Omnicell, but I imagine all ADCs typically work the same: the provider places an order, a pharmacist verifies the order, the nurse retrieves the medication from the ADC, the nurse verifies the patient with two identifiers, the nurse scans the patient armband, and then the nurse scans the medication. As noted, there are multiple steps taken to prevent medication error, and the order goes through at least three different people, if not more, before it reaches the patient. Therefore, this increases the likelihood that someone will catch an error before it can harm the patient. </w:t>
      </w:r>
    </w:p>
    <w:p w14:paraId="5E8F18E9" w14:textId="5548B1E9" w:rsidR="0042029F" w:rsidRDefault="0042029F" w:rsidP="00B629B2">
      <w:pPr>
        <w:ind w:firstLine="720"/>
        <w:rPr>
          <w:rFonts w:ascii="Times New Roman" w:hAnsi="Times New Roman" w:cs="Times New Roman"/>
        </w:rPr>
      </w:pPr>
      <w:r>
        <w:rPr>
          <w:rFonts w:ascii="Times New Roman" w:hAnsi="Times New Roman" w:cs="Times New Roman"/>
        </w:rPr>
        <w:t xml:space="preserve">However, as I stated earlier, nurses can get around these safety measures. Though I try my best not to, I have done it, and I have seen it done by others. Either I have forgotten to scan the patient armband, or the medication label will not scan. So, to save time you just click “scanner broken”, or something along those lines, and give the medication. While I try to take precautions to prevent medication errors, such as still using two nurse verification for insulin, even though it is not required any longer in Epic, I have still fallen prey to the workarounds of overriding medications. I try to make it a best practice not to do this, but I still see it done in my work area. </w:t>
      </w:r>
    </w:p>
    <w:p w14:paraId="41857CE7" w14:textId="6B62FFBD" w:rsidR="0042029F" w:rsidRDefault="0042029F" w:rsidP="00B629B2">
      <w:pPr>
        <w:ind w:firstLine="720"/>
        <w:rPr>
          <w:rFonts w:ascii="Times New Roman" w:hAnsi="Times New Roman" w:cs="Times New Roman"/>
        </w:rPr>
      </w:pPr>
      <w:r>
        <w:rPr>
          <w:rFonts w:ascii="Times New Roman" w:hAnsi="Times New Roman" w:cs="Times New Roman"/>
        </w:rPr>
        <w:t>ISMP (2020) states, “</w:t>
      </w:r>
      <w:r w:rsidRPr="0042029F">
        <w:rPr>
          <w:rFonts w:ascii="Times New Roman" w:hAnsi="Times New Roman" w:cs="Times New Roman"/>
        </w:rPr>
        <w:t>A pharmacist’s review of each medication order is important to assess potential duplication in therapy, contraindications, unsafe dosing, allergies, and other medication-related concerns before a drug is removed from stock and administered</w:t>
      </w:r>
      <w:r>
        <w:rPr>
          <w:rFonts w:ascii="Times New Roman" w:hAnsi="Times New Roman" w:cs="Times New Roman"/>
        </w:rPr>
        <w:t xml:space="preserve">.” This statement is true for all patients, but especially true for pediatric patients, which is the population of patients I care for. A dose of medication that may be safe for adults is most of the time not a safe dose for pediatrics. That is why pediatric medications are weight-based, and why it is imperative that we, as nurses, take every safety precaution put into place to ensure we are giving the correct medication and the correct dose. </w:t>
      </w:r>
    </w:p>
    <w:p w14:paraId="7BD0BE8E" w14:textId="2E244B7E" w:rsidR="00960D7F" w:rsidRDefault="00E95018" w:rsidP="00960D7F">
      <w:pPr>
        <w:ind w:firstLine="720"/>
        <w:rPr>
          <w:rFonts w:ascii="Times New Roman" w:hAnsi="Times New Roman" w:cs="Times New Roman"/>
        </w:rPr>
      </w:pPr>
      <w:r w:rsidRPr="00E95018">
        <w:rPr>
          <w:rFonts w:ascii="Times New Roman" w:hAnsi="Times New Roman" w:cs="Times New Roman"/>
        </w:rPr>
        <w:t xml:space="preserve">ISMP </w:t>
      </w:r>
      <w:r>
        <w:rPr>
          <w:rFonts w:ascii="Times New Roman" w:hAnsi="Times New Roman" w:cs="Times New Roman"/>
        </w:rPr>
        <w:t>(2020) “</w:t>
      </w:r>
      <w:r w:rsidRPr="00E95018">
        <w:rPr>
          <w:rFonts w:ascii="Times New Roman" w:hAnsi="Times New Roman" w:cs="Times New Roman"/>
        </w:rPr>
        <w:t>defines “override” as a process of bypassing the pharmacist’s review of a medication order to obtain a medication from the ADC when assessment of the patient indicates that a delay in therapy would harm the patient</w:t>
      </w:r>
      <w:r>
        <w:rPr>
          <w:rFonts w:ascii="Times New Roman" w:hAnsi="Times New Roman" w:cs="Times New Roman"/>
        </w:rPr>
        <w:t>.” I have seen this and personally overridden medications from the Omnicell in an emergent situation, such as a code. These emergency situations really are the only time we should be bypassing the safety measures that are in place. Some care areas, such as the ED or pre-/post-op areas, do not use ADCs or scan medications before giving them to the patient (ISMP 2020). Unless it is a true emergency, this is not necessary. The safety measures are put there for a reason- to not harm the patient!</w:t>
      </w:r>
    </w:p>
    <w:p w14:paraId="25EF2ED9" w14:textId="5091976C" w:rsidR="00960D7F" w:rsidRDefault="00960D7F" w:rsidP="00960D7F">
      <w:pPr>
        <w:ind w:firstLine="720"/>
        <w:rPr>
          <w:rFonts w:ascii="Times New Roman" w:hAnsi="Times New Roman" w:cs="Times New Roman"/>
        </w:rPr>
      </w:pPr>
      <w:r>
        <w:rPr>
          <w:rFonts w:ascii="Times New Roman" w:hAnsi="Times New Roman" w:cs="Times New Roman"/>
        </w:rPr>
        <w:lastRenderedPageBreak/>
        <w:t>In closing, workarounds in technology are imminent, but as healthcare providers, we can take steps to minimize those. Workarounds may be “used to overcome an intentional barrier” (Pennsylvania Patient Safety Advisory, 2017), but those barriers are in place for a reason. Overriding medications is one workaround that we should try to avoid unless in an emergency. As nurses and healthcare providers, we should always remember the five rights of medication, use two patient identifiers, and double check everything. Taking a little extra time may just save your patient from harm!</w:t>
      </w:r>
    </w:p>
    <w:p w14:paraId="708A3416" w14:textId="77777777" w:rsidR="009C0AC2" w:rsidRDefault="009C0AC2" w:rsidP="00B629B2">
      <w:pPr>
        <w:ind w:firstLine="720"/>
        <w:rPr>
          <w:rFonts w:ascii="Times New Roman" w:hAnsi="Times New Roman" w:cs="Times New Roman"/>
        </w:rPr>
      </w:pPr>
    </w:p>
    <w:p w14:paraId="0C513E5D" w14:textId="77777777" w:rsidR="009C0AC2" w:rsidRDefault="009C0AC2" w:rsidP="00B629B2">
      <w:pPr>
        <w:ind w:firstLine="720"/>
        <w:rPr>
          <w:rFonts w:ascii="Times New Roman" w:hAnsi="Times New Roman" w:cs="Times New Roman"/>
        </w:rPr>
      </w:pPr>
    </w:p>
    <w:p w14:paraId="4FD67467" w14:textId="77777777" w:rsidR="009C0AC2" w:rsidRDefault="009C0AC2" w:rsidP="00B629B2">
      <w:pPr>
        <w:ind w:firstLine="720"/>
        <w:rPr>
          <w:rFonts w:ascii="Times New Roman" w:hAnsi="Times New Roman" w:cs="Times New Roman"/>
        </w:rPr>
      </w:pPr>
    </w:p>
    <w:p w14:paraId="35C6C3B8" w14:textId="77777777" w:rsidR="009C0AC2" w:rsidRDefault="009C0AC2" w:rsidP="00B629B2">
      <w:pPr>
        <w:ind w:firstLine="720"/>
        <w:rPr>
          <w:rFonts w:ascii="Times New Roman" w:hAnsi="Times New Roman" w:cs="Times New Roman"/>
        </w:rPr>
      </w:pPr>
    </w:p>
    <w:p w14:paraId="40D32E35" w14:textId="77777777" w:rsidR="0042029F" w:rsidRDefault="0042029F" w:rsidP="00B629B2">
      <w:pPr>
        <w:ind w:firstLine="720"/>
        <w:rPr>
          <w:rFonts w:ascii="Times New Roman" w:hAnsi="Times New Roman" w:cs="Times New Roman"/>
        </w:rPr>
      </w:pPr>
    </w:p>
    <w:p w14:paraId="6DB358EF" w14:textId="4FF9E501" w:rsidR="009C0AC2" w:rsidRPr="0042029F" w:rsidRDefault="009C0AC2" w:rsidP="00B47E93">
      <w:pPr>
        <w:ind w:left="720" w:hanging="720"/>
        <w:jc w:val="center"/>
        <w:rPr>
          <w:rFonts w:ascii="Times New Roman" w:hAnsi="Times New Roman" w:cs="Times New Roman"/>
          <w:b/>
          <w:bCs/>
        </w:rPr>
      </w:pPr>
      <w:r w:rsidRPr="0042029F">
        <w:rPr>
          <w:rFonts w:ascii="Times New Roman" w:hAnsi="Times New Roman" w:cs="Times New Roman"/>
          <w:b/>
          <w:bCs/>
        </w:rPr>
        <w:t>References</w:t>
      </w:r>
    </w:p>
    <w:p w14:paraId="17B47AD3" w14:textId="29A58386" w:rsidR="009C0AC2" w:rsidRDefault="009C0AC2" w:rsidP="00B47E93">
      <w:pPr>
        <w:ind w:left="720" w:hanging="720"/>
        <w:rPr>
          <w:rFonts w:ascii="Times New Roman" w:hAnsi="Times New Roman" w:cs="Times New Roman"/>
        </w:rPr>
      </w:pPr>
      <w:r w:rsidRPr="009C0AC2">
        <w:rPr>
          <w:rFonts w:ascii="Times New Roman" w:hAnsi="Times New Roman" w:cs="Times New Roman"/>
        </w:rPr>
        <w:t>Over-the-top risky: Overuse of ADC overrides, removal of drugs without an order, and use of non-profiled cabinets. (2020). </w:t>
      </w:r>
      <w:r w:rsidRPr="009C0AC2">
        <w:rPr>
          <w:rFonts w:ascii="Times New Roman" w:hAnsi="Times New Roman" w:cs="Times New Roman"/>
          <w:i/>
          <w:iCs/>
        </w:rPr>
        <w:t>Medical Environment Update</w:t>
      </w:r>
      <w:r w:rsidRPr="009C0AC2">
        <w:rPr>
          <w:rFonts w:ascii="Times New Roman" w:hAnsi="Times New Roman" w:cs="Times New Roman"/>
        </w:rPr>
        <w:t>, </w:t>
      </w:r>
      <w:r w:rsidRPr="009C0AC2">
        <w:rPr>
          <w:rFonts w:ascii="Times New Roman" w:hAnsi="Times New Roman" w:cs="Times New Roman"/>
          <w:i/>
          <w:iCs/>
        </w:rPr>
        <w:t>30</w:t>
      </w:r>
      <w:r w:rsidRPr="009C0AC2">
        <w:rPr>
          <w:rFonts w:ascii="Times New Roman" w:hAnsi="Times New Roman" w:cs="Times New Roman"/>
        </w:rPr>
        <w:t>(7), 5–9.</w:t>
      </w:r>
    </w:p>
    <w:p w14:paraId="3A2B68B1" w14:textId="77777777" w:rsidR="00B47E93" w:rsidRPr="00B47E93" w:rsidRDefault="00B47E93" w:rsidP="00B47E93">
      <w:pPr>
        <w:ind w:left="720" w:hanging="720"/>
        <w:rPr>
          <w:rFonts w:ascii="Times New Roman" w:hAnsi="Times New Roman" w:cs="Times New Roman"/>
        </w:rPr>
      </w:pPr>
      <w:r w:rsidRPr="00B47E93">
        <w:rPr>
          <w:rFonts w:ascii="Times New Roman" w:hAnsi="Times New Roman" w:cs="Times New Roman"/>
        </w:rPr>
        <w:t xml:space="preserve">Pennsylvania Patient Safety Authority. (2017, September 14). </w:t>
      </w:r>
      <w:r w:rsidRPr="00B47E93">
        <w:rPr>
          <w:rFonts w:ascii="Times New Roman" w:hAnsi="Times New Roman" w:cs="Times New Roman"/>
          <w:i/>
          <w:iCs/>
        </w:rPr>
        <w:t>Workarounds: Trash or treasure?: Advisory</w:t>
      </w:r>
      <w:r w:rsidRPr="00B47E93">
        <w:rPr>
          <w:rFonts w:ascii="Times New Roman" w:hAnsi="Times New Roman" w:cs="Times New Roman"/>
        </w:rPr>
        <w:t xml:space="preserve">. https://patientsafety.pa.gov/ADVISORIES/Pages/201709_Workarounds.aspx </w:t>
      </w:r>
    </w:p>
    <w:p w14:paraId="31DADEBC" w14:textId="77777777" w:rsidR="00B47E93" w:rsidRPr="00B629B2" w:rsidRDefault="00B47E93" w:rsidP="00B47E93">
      <w:pPr>
        <w:ind w:left="720" w:hanging="720"/>
        <w:rPr>
          <w:rFonts w:ascii="Times New Roman" w:hAnsi="Times New Roman" w:cs="Times New Roman"/>
        </w:rPr>
      </w:pPr>
    </w:p>
    <w:sectPr w:rsidR="00B47E93" w:rsidRPr="00B6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B2"/>
    <w:rsid w:val="00061B9E"/>
    <w:rsid w:val="004104A4"/>
    <w:rsid w:val="0042029F"/>
    <w:rsid w:val="00456B91"/>
    <w:rsid w:val="005B397A"/>
    <w:rsid w:val="00843F34"/>
    <w:rsid w:val="008861D5"/>
    <w:rsid w:val="00960D7F"/>
    <w:rsid w:val="009C0AC2"/>
    <w:rsid w:val="00B47E93"/>
    <w:rsid w:val="00B629B2"/>
    <w:rsid w:val="00E9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192D"/>
  <w15:chartTrackingRefBased/>
  <w15:docId w15:val="{86DB1F10-A1A5-42B0-9AAA-1AA4C119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B2"/>
    <w:rPr>
      <w:rFonts w:eastAsiaTheme="majorEastAsia" w:cstheme="majorBidi"/>
      <w:color w:val="272727" w:themeColor="text1" w:themeTint="D8"/>
    </w:rPr>
  </w:style>
  <w:style w:type="paragraph" w:styleId="Title">
    <w:name w:val="Title"/>
    <w:basedOn w:val="Normal"/>
    <w:next w:val="Normal"/>
    <w:link w:val="TitleChar"/>
    <w:uiPriority w:val="10"/>
    <w:qFormat/>
    <w:rsid w:val="00B62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B2"/>
    <w:pPr>
      <w:spacing w:before="160"/>
      <w:jc w:val="center"/>
    </w:pPr>
    <w:rPr>
      <w:i/>
      <w:iCs/>
      <w:color w:val="404040" w:themeColor="text1" w:themeTint="BF"/>
    </w:rPr>
  </w:style>
  <w:style w:type="character" w:customStyle="1" w:styleId="QuoteChar">
    <w:name w:val="Quote Char"/>
    <w:basedOn w:val="DefaultParagraphFont"/>
    <w:link w:val="Quote"/>
    <w:uiPriority w:val="29"/>
    <w:rsid w:val="00B629B2"/>
    <w:rPr>
      <w:i/>
      <w:iCs/>
      <w:color w:val="404040" w:themeColor="text1" w:themeTint="BF"/>
    </w:rPr>
  </w:style>
  <w:style w:type="paragraph" w:styleId="ListParagraph">
    <w:name w:val="List Paragraph"/>
    <w:basedOn w:val="Normal"/>
    <w:uiPriority w:val="34"/>
    <w:qFormat/>
    <w:rsid w:val="00B629B2"/>
    <w:pPr>
      <w:ind w:left="720"/>
      <w:contextualSpacing/>
    </w:pPr>
  </w:style>
  <w:style w:type="character" w:styleId="IntenseEmphasis">
    <w:name w:val="Intense Emphasis"/>
    <w:basedOn w:val="DefaultParagraphFont"/>
    <w:uiPriority w:val="21"/>
    <w:qFormat/>
    <w:rsid w:val="00B629B2"/>
    <w:rPr>
      <w:i/>
      <w:iCs/>
      <w:color w:val="0F4761" w:themeColor="accent1" w:themeShade="BF"/>
    </w:rPr>
  </w:style>
  <w:style w:type="paragraph" w:styleId="IntenseQuote">
    <w:name w:val="Intense Quote"/>
    <w:basedOn w:val="Normal"/>
    <w:next w:val="Normal"/>
    <w:link w:val="IntenseQuoteChar"/>
    <w:uiPriority w:val="30"/>
    <w:qFormat/>
    <w:rsid w:val="00B62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B2"/>
    <w:rPr>
      <w:i/>
      <w:iCs/>
      <w:color w:val="0F4761" w:themeColor="accent1" w:themeShade="BF"/>
    </w:rPr>
  </w:style>
  <w:style w:type="character" w:styleId="IntenseReference">
    <w:name w:val="Intense Reference"/>
    <w:basedOn w:val="DefaultParagraphFont"/>
    <w:uiPriority w:val="32"/>
    <w:qFormat/>
    <w:rsid w:val="00B629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0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19FAD9B38B3428BA772D80550469C" ma:contentTypeVersion="9" ma:contentTypeDescription="Create a new document." ma:contentTypeScope="" ma:versionID="fd4b5ba2fe94ccebda23890d5eef58d2">
  <xsd:schema xmlns:xsd="http://www.w3.org/2001/XMLSchema" xmlns:xs="http://www.w3.org/2001/XMLSchema" xmlns:p="http://schemas.microsoft.com/office/2006/metadata/properties" xmlns:ns3="6d2961af-863a-4af3-857f-204c05a10ebc" xmlns:ns4="d71ec703-6c7d-4238-8a45-283dd47159be" targetNamespace="http://schemas.microsoft.com/office/2006/metadata/properties" ma:root="true" ma:fieldsID="f935a16ae3571b7dcfe855e8f2d3dd29" ns3:_="" ns4:_="">
    <xsd:import namespace="6d2961af-863a-4af3-857f-204c05a10ebc"/>
    <xsd:import namespace="d71ec703-6c7d-4238-8a45-283dd47159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61af-863a-4af3-857f-204c05a10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ec703-6c7d-4238-8a45-283dd47159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C60DA-1CCF-4629-A3DA-F412684F0745}">
  <ds:schemaRefs>
    <ds:schemaRef ds:uri="http://schemas.microsoft.com/office/2006/documentManagement/types"/>
    <ds:schemaRef ds:uri="http://purl.org/dc/elements/1.1/"/>
    <ds:schemaRef ds:uri="d71ec703-6c7d-4238-8a45-283dd47159be"/>
    <ds:schemaRef ds:uri="6d2961af-863a-4af3-857f-204c05a10ebc"/>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501A306-BDB8-47B4-94D1-EB48FC88449B}">
  <ds:schemaRefs>
    <ds:schemaRef ds:uri="http://schemas.microsoft.com/sharepoint/v3/contenttype/forms"/>
  </ds:schemaRefs>
</ds:datastoreItem>
</file>

<file path=customXml/itemProps3.xml><?xml version="1.0" encoding="utf-8"?>
<ds:datastoreItem xmlns:ds="http://schemas.openxmlformats.org/officeDocument/2006/customXml" ds:itemID="{C8565331-87F6-4310-ADD5-C0491A52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61af-863a-4af3-857f-204c05a10ebc"/>
    <ds:schemaRef ds:uri="d71ec703-6c7d-4238-8a45-283dd4715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2024-09-19T18:43:00Z</dcterms:created>
  <dcterms:modified xsi:type="dcterms:W3CDTF">2024-09-19T18:43:00Z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0x010100CFE19FAD9B38B3428BA772D80550469C</vt:lpwstr>
  </property>
</Properties>
</file>