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 to Floor Admission Process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-914399</wp:posOffset>
            </wp:positionH>
            <wp:positionV relativeFrom="paragraph">
              <wp:posOffset>148637</wp:posOffset>
            </wp:positionV>
            <wp:extent cx="7658100" cy="2128838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1288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References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40" w:befor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Emergency department workflow diagrams. (2018, January).  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https://www.ahrq.gov/sites/default/files/wysiwyg/professionals/quality-patient-safety/quality-res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ources/tools/cap-toolkit/ed-workflowdiagrams.pdf </w:t>
      </w:r>
    </w:p>
    <w:p w:rsidR="00000000" w:rsidDel="00000000" w:rsidP="00000000" w:rsidRDefault="00000000" w:rsidRPr="00000000" w14:paraId="00000015">
      <w:pPr>
        <w:widowControl w:val="0"/>
        <w:ind w:left="720" w:hanging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LLC, Lkc.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Create mind maps: Collaborate and present ideas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Bubbl.us - Create Mind </w:t>
        <w:tab/>
        <w:t xml:space="preserve">Maps. https://bubbl.us/ 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0"/>
        <w:spacing w:after="1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Mostafa, R., &amp; El-Atawi, K. (2024). Strategies to Measure and Improve Emergency Department</w:t>
      </w:r>
    </w:p>
    <w:p w:rsidR="00000000" w:rsidDel="00000000" w:rsidP="00000000" w:rsidRDefault="00000000" w:rsidRPr="00000000" w14:paraId="0000001A">
      <w:pPr>
        <w:keepLines w:val="0"/>
        <w:spacing w:after="10" w:lineRule="auto"/>
        <w:ind w:left="14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Performance: A Review. Cureus, 16(1), e52879.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https://doi.org/10.7759/cureus.52879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0"/>
        <w:spacing w:after="1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ahrq.gov/sites/default/files/wysiwyg/professionals/quality-patient-safety/quality-res" TargetMode="External"/><Relationship Id="rId8" Type="http://schemas.openxmlformats.org/officeDocument/2006/relationships/hyperlink" Target="https://doi.org/10.7759/cureus.52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